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keepNext/>
        <w:shd w:fill="FFFFFF" w:val="clear"/>
        <w:snapToGrid w:val="false"/>
        <w:spacing w:lineRule="auto"/>
        <w:jc w:val="center"/>
        <w:rPr>
          <w:rFonts w:ascii="標楷體" w:hAnsi="標楷體" w:eastAsia="標楷體"/>
          <w:b/>
          <w:b/>
          <w:sz w:val="32"/>
          <w:szCs w:val="32"/>
        </w:rPr>
      </w:pPr>
      <w:r>
        <w:rPr>
          <w:rFonts w:ascii="標楷體" w:hAnsi="標楷體" w:eastAsia="標楷體"/>
          <w:b/>
          <w:sz w:val="32"/>
          <w:szCs w:val="32"/>
        </w:rPr>
        <w:t>大同大學教師出席國際會議辦法</w:t>
      </w:r>
    </w:p>
    <w:p>
      <w:pPr>
        <w:pStyle w:val="Default"/>
        <w:keepNext/>
        <w:shd w:fill="FFFFFF" w:val="clear"/>
        <w:bidi w:val="0"/>
        <w:snapToGrid w:val="false"/>
        <w:spacing w:lineRule="auto" w:before="0" w:after="62"/>
        <w:jc w:val="right"/>
        <w:rPr>
          <w:color w:val="00000A"/>
          <w:sz w:val="20"/>
          <w:szCs w:val="20"/>
        </w:rPr>
      </w:pPr>
      <w:r>
        <w:rPr>
          <w:color w:val="00000A"/>
          <w:sz w:val="20"/>
          <w:szCs w:val="20"/>
        </w:rPr>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92</w:t>
      </w:r>
      <w:r>
        <w:rPr>
          <w:color w:val="00000A"/>
          <w:sz w:val="20"/>
          <w:szCs w:val="20"/>
        </w:rPr>
        <w:t>年</w:t>
      </w:r>
      <w:r>
        <w:rPr>
          <w:color w:val="00000A"/>
          <w:sz w:val="20"/>
          <w:szCs w:val="20"/>
        </w:rPr>
        <w:t>10</w:t>
      </w:r>
      <w:r>
        <w:rPr>
          <w:color w:val="00000A"/>
          <w:sz w:val="20"/>
          <w:szCs w:val="20"/>
        </w:rPr>
        <w:t>月</w:t>
      </w:r>
      <w:r>
        <w:rPr>
          <w:color w:val="00000A"/>
          <w:sz w:val="20"/>
          <w:szCs w:val="20"/>
        </w:rPr>
        <w:t>1</w:t>
      </w:r>
      <w:r>
        <w:rPr>
          <w:color w:val="00000A"/>
          <w:sz w:val="20"/>
          <w:szCs w:val="20"/>
        </w:rPr>
        <w:t>日行政會議通過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99</w:t>
      </w:r>
      <w:r>
        <w:rPr>
          <w:color w:val="00000A"/>
          <w:sz w:val="20"/>
          <w:szCs w:val="20"/>
        </w:rPr>
        <w:t>年</w:t>
      </w:r>
      <w:r>
        <w:rPr>
          <w:color w:val="00000A"/>
          <w:sz w:val="20"/>
          <w:szCs w:val="20"/>
        </w:rPr>
        <w:t>8</w:t>
      </w:r>
      <w:r>
        <w:rPr>
          <w:color w:val="00000A"/>
          <w:sz w:val="20"/>
          <w:szCs w:val="20"/>
        </w:rPr>
        <w:t>月</w:t>
      </w:r>
      <w:r>
        <w:rPr>
          <w:color w:val="00000A"/>
          <w:sz w:val="20"/>
          <w:szCs w:val="20"/>
        </w:rPr>
        <w:t>19</w:t>
      </w:r>
      <w:r>
        <w:rPr>
          <w:color w:val="00000A"/>
          <w:sz w:val="20"/>
          <w:szCs w:val="20"/>
        </w:rPr>
        <w:t>日行政會議修正通過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99</w:t>
      </w:r>
      <w:r>
        <w:rPr>
          <w:color w:val="00000A"/>
          <w:sz w:val="20"/>
          <w:szCs w:val="20"/>
        </w:rPr>
        <w:t>年</w:t>
      </w:r>
      <w:r>
        <w:rPr>
          <w:color w:val="00000A"/>
          <w:sz w:val="20"/>
          <w:szCs w:val="20"/>
        </w:rPr>
        <w:t>10</w:t>
      </w:r>
      <w:r>
        <w:rPr>
          <w:color w:val="00000A"/>
          <w:sz w:val="20"/>
          <w:szCs w:val="20"/>
        </w:rPr>
        <w:t>月</w:t>
      </w:r>
      <w:r>
        <w:rPr>
          <w:color w:val="00000A"/>
          <w:sz w:val="20"/>
          <w:szCs w:val="20"/>
        </w:rPr>
        <w:t>14</w:t>
      </w:r>
      <w:r>
        <w:rPr>
          <w:color w:val="00000A"/>
          <w:sz w:val="20"/>
          <w:szCs w:val="20"/>
        </w:rPr>
        <w:t>日校務會議修正通過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100</w:t>
      </w:r>
      <w:r>
        <w:rPr>
          <w:color w:val="00000A"/>
          <w:sz w:val="20"/>
          <w:szCs w:val="20"/>
        </w:rPr>
        <w:t>年</w:t>
      </w:r>
      <w:r>
        <w:rPr>
          <w:color w:val="00000A"/>
          <w:sz w:val="20"/>
          <w:szCs w:val="20"/>
        </w:rPr>
        <w:t>5</w:t>
      </w:r>
      <w:r>
        <w:rPr>
          <w:color w:val="00000A"/>
          <w:sz w:val="20"/>
          <w:szCs w:val="20"/>
        </w:rPr>
        <w:t>月</w:t>
      </w:r>
      <w:r>
        <w:rPr>
          <w:color w:val="00000A"/>
          <w:sz w:val="20"/>
          <w:szCs w:val="20"/>
        </w:rPr>
        <w:t>19</w:t>
      </w:r>
      <w:r>
        <w:rPr>
          <w:color w:val="00000A"/>
          <w:sz w:val="20"/>
          <w:szCs w:val="20"/>
        </w:rPr>
        <w:t>日校務會議修正通過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101</w:t>
      </w:r>
      <w:r>
        <w:rPr>
          <w:color w:val="00000A"/>
          <w:sz w:val="20"/>
          <w:szCs w:val="20"/>
        </w:rPr>
        <w:t>年</w:t>
      </w:r>
      <w:r>
        <w:rPr>
          <w:color w:val="00000A"/>
          <w:sz w:val="20"/>
          <w:szCs w:val="20"/>
        </w:rPr>
        <w:t>3</w:t>
      </w:r>
      <w:r>
        <w:rPr>
          <w:color w:val="00000A"/>
          <w:sz w:val="20"/>
          <w:szCs w:val="20"/>
        </w:rPr>
        <w:t>月</w:t>
      </w:r>
      <w:r>
        <w:rPr>
          <w:color w:val="00000A"/>
          <w:sz w:val="20"/>
          <w:szCs w:val="20"/>
        </w:rPr>
        <w:t>15</w:t>
      </w:r>
      <w:r>
        <w:rPr>
          <w:color w:val="00000A"/>
          <w:sz w:val="20"/>
          <w:szCs w:val="20"/>
        </w:rPr>
        <w:t>日校務會議修正通過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101</w:t>
      </w:r>
      <w:r>
        <w:rPr>
          <w:color w:val="00000A"/>
          <w:sz w:val="20"/>
          <w:szCs w:val="20"/>
        </w:rPr>
        <w:t>年</w:t>
      </w:r>
      <w:r>
        <w:rPr>
          <w:color w:val="00000A"/>
          <w:sz w:val="20"/>
          <w:szCs w:val="20"/>
        </w:rPr>
        <w:t>11</w:t>
      </w:r>
      <w:r>
        <w:rPr>
          <w:color w:val="00000A"/>
          <w:sz w:val="20"/>
          <w:szCs w:val="20"/>
        </w:rPr>
        <w:t>月</w:t>
      </w:r>
      <w:r>
        <w:rPr>
          <w:color w:val="00000A"/>
          <w:sz w:val="20"/>
          <w:szCs w:val="20"/>
        </w:rPr>
        <w:t>22</w:t>
      </w:r>
      <w:r>
        <w:rPr>
          <w:color w:val="00000A"/>
          <w:sz w:val="20"/>
          <w:szCs w:val="20"/>
        </w:rPr>
        <w:t>日校務會議修正通過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102</w:t>
      </w:r>
      <w:r>
        <w:rPr>
          <w:color w:val="00000A"/>
          <w:sz w:val="20"/>
          <w:szCs w:val="20"/>
        </w:rPr>
        <w:t>年</w:t>
      </w:r>
      <w:r>
        <w:rPr>
          <w:color w:val="00000A"/>
          <w:sz w:val="20"/>
          <w:szCs w:val="20"/>
        </w:rPr>
        <w:t>10</w:t>
      </w:r>
      <w:r>
        <w:rPr>
          <w:color w:val="00000A"/>
          <w:sz w:val="20"/>
          <w:szCs w:val="20"/>
        </w:rPr>
        <w:t>月</w:t>
      </w:r>
      <w:r>
        <w:rPr>
          <w:color w:val="00000A"/>
          <w:sz w:val="20"/>
          <w:szCs w:val="20"/>
        </w:rPr>
        <w:t>17</w:t>
      </w:r>
      <w:r>
        <w:rPr>
          <w:color w:val="00000A"/>
          <w:sz w:val="20"/>
          <w:szCs w:val="20"/>
        </w:rPr>
        <w:t>日校務會議修正通過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103</w:t>
      </w:r>
      <w:r>
        <w:rPr>
          <w:color w:val="00000A"/>
          <w:sz w:val="20"/>
          <w:szCs w:val="20"/>
        </w:rPr>
        <w:t>年</w:t>
      </w:r>
      <w:r>
        <w:rPr>
          <w:color w:val="00000A"/>
          <w:sz w:val="20"/>
          <w:szCs w:val="20"/>
        </w:rPr>
        <w:t>5</w:t>
      </w:r>
      <w:r>
        <w:rPr>
          <w:color w:val="00000A"/>
          <w:sz w:val="20"/>
          <w:szCs w:val="20"/>
        </w:rPr>
        <w:t>月</w:t>
      </w:r>
      <w:r>
        <w:rPr>
          <w:color w:val="00000A"/>
          <w:sz w:val="20"/>
          <w:szCs w:val="20"/>
        </w:rPr>
        <w:t>15</w:t>
      </w:r>
      <w:r>
        <w:rPr>
          <w:color w:val="00000A"/>
          <w:sz w:val="20"/>
          <w:szCs w:val="20"/>
        </w:rPr>
        <w:t>日校務會議修訂通過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103</w:t>
      </w:r>
      <w:r>
        <w:rPr>
          <w:color w:val="00000A"/>
          <w:sz w:val="20"/>
          <w:szCs w:val="20"/>
        </w:rPr>
        <w:t>年</w:t>
      </w:r>
      <w:r>
        <w:rPr>
          <w:color w:val="00000A"/>
          <w:sz w:val="20"/>
          <w:szCs w:val="20"/>
        </w:rPr>
        <w:t>7</w:t>
      </w:r>
      <w:r>
        <w:rPr>
          <w:color w:val="00000A"/>
          <w:sz w:val="20"/>
          <w:szCs w:val="20"/>
        </w:rPr>
        <w:t>月</w:t>
      </w:r>
      <w:r>
        <w:rPr>
          <w:color w:val="00000A"/>
          <w:sz w:val="20"/>
          <w:szCs w:val="20"/>
        </w:rPr>
        <w:t>25</w:t>
      </w:r>
      <w:r>
        <w:rPr>
          <w:color w:val="00000A"/>
          <w:sz w:val="20"/>
          <w:szCs w:val="20"/>
        </w:rPr>
        <w:t>日行政會議修正通過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103</w:t>
      </w:r>
      <w:r>
        <w:rPr>
          <w:color w:val="00000A"/>
          <w:sz w:val="20"/>
          <w:szCs w:val="20"/>
        </w:rPr>
        <w:t>年</w:t>
      </w:r>
      <w:r>
        <w:rPr>
          <w:color w:val="00000A"/>
          <w:sz w:val="20"/>
          <w:szCs w:val="20"/>
        </w:rPr>
        <w:t>7</w:t>
      </w:r>
      <w:r>
        <w:rPr>
          <w:color w:val="00000A"/>
          <w:sz w:val="20"/>
          <w:szCs w:val="20"/>
        </w:rPr>
        <w:t>月</w:t>
      </w:r>
      <w:r>
        <w:rPr>
          <w:color w:val="00000A"/>
          <w:sz w:val="20"/>
          <w:szCs w:val="20"/>
        </w:rPr>
        <w:t>25</w:t>
      </w:r>
      <w:r>
        <w:rPr>
          <w:color w:val="00000A"/>
          <w:sz w:val="20"/>
          <w:szCs w:val="20"/>
        </w:rPr>
        <w:t>日校務會議修正通過</w:t>
      </w:r>
    </w:p>
    <w:p>
      <w:pPr>
        <w:pStyle w:val="Default"/>
        <w:keepNext/>
        <w:shd w:fill="FFFFFF" w:val="clear"/>
        <w:bidi w:val="0"/>
        <w:snapToGrid w:val="false"/>
        <w:spacing w:lineRule="auto" w:before="0" w:after="62"/>
        <w:jc w:val="right"/>
        <w:rPr>
          <w:color w:val="00000A"/>
          <w:sz w:val="20"/>
          <w:szCs w:val="20"/>
        </w:rPr>
      </w:pPr>
      <w:r>
        <w:rPr>
          <w:color w:val="00000A"/>
          <w:sz w:val="20"/>
          <w:szCs w:val="20"/>
        </w:rPr>
        <w:t>民國</w:t>
      </w:r>
      <w:r>
        <w:rPr>
          <w:color w:val="00000A"/>
          <w:sz w:val="20"/>
          <w:szCs w:val="20"/>
        </w:rPr>
        <w:t>107</w:t>
      </w:r>
      <w:r>
        <w:rPr>
          <w:color w:val="00000A"/>
          <w:sz w:val="20"/>
          <w:szCs w:val="20"/>
        </w:rPr>
        <w:t>年</w:t>
      </w:r>
      <w:r>
        <w:rPr>
          <w:color w:val="00000A"/>
          <w:sz w:val="20"/>
          <w:szCs w:val="20"/>
        </w:rPr>
        <w:t>12</w:t>
      </w:r>
      <w:r>
        <w:rPr>
          <w:color w:val="00000A"/>
          <w:sz w:val="20"/>
          <w:szCs w:val="20"/>
        </w:rPr>
        <w:t>月</w:t>
      </w:r>
      <w:r>
        <w:rPr>
          <w:color w:val="00000A"/>
          <w:sz w:val="20"/>
          <w:szCs w:val="20"/>
        </w:rPr>
        <w:t>13</w:t>
      </w:r>
      <w:r>
        <w:rPr>
          <w:color w:val="00000A"/>
          <w:sz w:val="20"/>
          <w:szCs w:val="20"/>
        </w:rPr>
        <w:t>日行政會議修正通過</w:t>
      </w:r>
    </w:p>
    <w:p>
      <w:pPr>
        <w:pStyle w:val="Default"/>
        <w:keepNext/>
        <w:shd w:fill="FFFFFF" w:val="clear"/>
        <w:bidi w:val="0"/>
        <w:snapToGrid w:val="false"/>
        <w:spacing w:lineRule="auto" w:before="0" w:after="62"/>
        <w:jc w:val="right"/>
        <w:rPr>
          <w:color w:val="auto"/>
          <w:sz w:val="20"/>
          <w:szCs w:val="20"/>
        </w:rPr>
      </w:pPr>
      <w:r>
        <w:rPr>
          <w:color w:val="auto"/>
          <w:sz w:val="20"/>
          <w:szCs w:val="20"/>
        </w:rPr>
        <w:t>民國</w:t>
      </w:r>
      <w:r>
        <w:rPr>
          <w:color w:val="auto"/>
          <w:sz w:val="20"/>
          <w:szCs w:val="20"/>
        </w:rPr>
        <w:t>108</w:t>
      </w:r>
      <w:r>
        <w:rPr>
          <w:color w:val="auto"/>
          <w:sz w:val="20"/>
          <w:szCs w:val="20"/>
        </w:rPr>
        <w:t>年</w:t>
      </w:r>
      <w:r>
        <w:rPr>
          <w:color w:val="auto"/>
          <w:sz w:val="20"/>
          <w:szCs w:val="20"/>
        </w:rPr>
        <w:t>03</w:t>
      </w:r>
      <w:r>
        <w:rPr>
          <w:color w:val="auto"/>
          <w:sz w:val="20"/>
          <w:szCs w:val="20"/>
        </w:rPr>
        <w:t>月</w:t>
      </w:r>
      <w:r>
        <w:rPr>
          <w:color w:val="auto"/>
          <w:sz w:val="20"/>
          <w:szCs w:val="20"/>
        </w:rPr>
        <w:t>07</w:t>
      </w:r>
      <w:r>
        <w:rPr>
          <w:color w:val="auto"/>
          <w:sz w:val="20"/>
          <w:szCs w:val="20"/>
        </w:rPr>
        <w:t>日校務會議修正通過</w:t>
      </w:r>
    </w:p>
    <w:p>
      <w:pPr>
        <w:pStyle w:val="Default"/>
        <w:shd w:fill="FFFFFF" w:val="clear"/>
        <w:bidi w:val="0"/>
        <w:snapToGrid w:val="false"/>
        <w:spacing w:lineRule="auto" w:before="0" w:after="62"/>
        <w:jc w:val="right"/>
        <w:rPr>
          <w:color w:val="000000"/>
          <w:sz w:val="20"/>
          <w:szCs w:val="20"/>
        </w:rPr>
      </w:pPr>
      <w:r>
        <w:rPr>
          <w:color w:val="000000"/>
          <w:sz w:val="20"/>
          <w:szCs w:val="20"/>
        </w:rPr>
        <w:t>民國</w:t>
      </w:r>
      <w:r>
        <w:rPr>
          <w:color w:val="000000"/>
          <w:sz w:val="20"/>
          <w:szCs w:val="20"/>
        </w:rPr>
        <w:t>108</w:t>
      </w:r>
      <w:r>
        <w:rPr>
          <w:color w:val="000000"/>
          <w:sz w:val="20"/>
          <w:szCs w:val="20"/>
        </w:rPr>
        <w:t>年</w:t>
      </w:r>
      <w:r>
        <w:rPr>
          <w:color w:val="000000"/>
          <w:sz w:val="20"/>
          <w:szCs w:val="20"/>
        </w:rPr>
        <w:t>7</w:t>
      </w:r>
      <w:r>
        <w:rPr>
          <w:color w:val="000000"/>
          <w:sz w:val="20"/>
          <w:szCs w:val="20"/>
        </w:rPr>
        <w:t>月</w:t>
      </w:r>
      <w:r>
        <w:rPr>
          <w:color w:val="000000"/>
          <w:sz w:val="20"/>
          <w:szCs w:val="20"/>
        </w:rPr>
        <w:t>11</w:t>
      </w:r>
      <w:r>
        <w:rPr>
          <w:color w:val="000000"/>
          <w:sz w:val="20"/>
          <w:szCs w:val="20"/>
        </w:rPr>
        <w:t>日行政會議修正通過</w:t>
      </w:r>
    </w:p>
    <w:p>
      <w:pPr>
        <w:pStyle w:val="Default"/>
        <w:keepNext/>
        <w:shd w:fill="FFFFFF" w:val="clear"/>
        <w:snapToGrid w:val="false"/>
        <w:spacing w:lineRule="auto"/>
        <w:jc w:val="right"/>
        <w:rPr>
          <w:color w:val="000000"/>
          <w:sz w:val="20"/>
          <w:szCs w:val="20"/>
        </w:rPr>
      </w:pPr>
      <w:r>
        <w:rPr>
          <w:color w:val="000000"/>
          <w:sz w:val="20"/>
          <w:szCs w:val="20"/>
        </w:rPr>
      </w:r>
    </w:p>
    <w:p>
      <w:pPr>
        <w:pStyle w:val="Normal"/>
        <w:keepNext/>
        <w:numPr>
          <w:ilvl w:val="0"/>
          <w:numId w:val="1"/>
        </w:numPr>
        <w:spacing w:lineRule="exact" w:line="520"/>
        <w:ind w:left="964" w:right="0" w:hanging="964"/>
        <w:jc w:val="both"/>
        <w:rPr>
          <w:rFonts w:ascii="標楷體" w:hAnsi="標楷體" w:eastAsia="標楷體"/>
          <w:color w:val="000000"/>
          <w:w w:val="101"/>
        </w:rPr>
      </w:pPr>
      <w:r>
        <w:rPr>
          <w:rFonts w:ascii="標楷體" w:hAnsi="標楷體" w:eastAsia="標楷體"/>
          <w:color w:val="000000"/>
          <w:w w:val="101"/>
        </w:rPr>
        <w:t>本校為提昇國際學術地位與促進國際學術交流，特訂定「大同大學教師出席國際會議辦法」</w:t>
      </w:r>
      <w:r>
        <w:rPr>
          <w:rFonts w:eastAsia="標楷體" w:ascii="標楷體" w:hAnsi="標楷體"/>
          <w:color w:val="000000"/>
          <w:w w:val="101"/>
        </w:rPr>
        <w:t>(</w:t>
      </w:r>
      <w:r>
        <w:rPr>
          <w:rFonts w:ascii="標楷體" w:hAnsi="標楷體" w:eastAsia="標楷體"/>
          <w:color w:val="000000"/>
          <w:w w:val="101"/>
        </w:rPr>
        <w:t>以下簡稱本辦法</w:t>
      </w:r>
      <w:r>
        <w:rPr>
          <w:rFonts w:eastAsia="標楷體" w:ascii="標楷體" w:hAnsi="標楷體"/>
          <w:color w:val="000000"/>
          <w:w w:val="101"/>
        </w:rPr>
        <w:t>)</w:t>
      </w:r>
      <w:r>
        <w:rPr>
          <w:rFonts w:ascii="標楷體" w:hAnsi="標楷體" w:eastAsia="標楷體"/>
          <w:color w:val="000000"/>
          <w:w w:val="101"/>
        </w:rPr>
        <w:t>。</w:t>
      </w:r>
    </w:p>
    <w:p>
      <w:pPr>
        <w:pStyle w:val="Normal"/>
        <w:keepNext/>
        <w:numPr>
          <w:ilvl w:val="0"/>
          <w:numId w:val="1"/>
        </w:numPr>
        <w:spacing w:lineRule="exact" w:line="520"/>
        <w:ind w:left="964" w:right="0" w:hanging="964"/>
        <w:jc w:val="both"/>
        <w:rPr>
          <w:color w:val="000000"/>
          <w:w w:val="101"/>
        </w:rPr>
      </w:pPr>
      <w:r>
        <w:rPr>
          <w:rFonts w:ascii="標楷體" w:hAnsi="標楷體" w:eastAsia="標楷體"/>
          <w:color w:val="000000"/>
          <w:w w:val="101"/>
        </w:rPr>
        <w:t>本辦法所稱之國際會議</w:t>
      </w:r>
      <w:r>
        <w:rPr>
          <w:rFonts w:ascii="標楷體" w:hAnsi="標楷體" w:eastAsia="標楷體"/>
          <w:color w:val="000000"/>
          <w:w w:val="101"/>
          <w:highlight w:val="white"/>
        </w:rPr>
        <w:t>應具備下列條件：</w:t>
      </w:r>
    </w:p>
    <w:p>
      <w:pPr>
        <w:pStyle w:val="Normal"/>
        <w:keepNext/>
        <w:numPr>
          <w:ilvl w:val="1"/>
          <w:numId w:val="1"/>
        </w:numPr>
        <w:spacing w:lineRule="exact" w:line="520"/>
        <w:ind w:left="1531" w:right="0" w:hanging="567"/>
        <w:rPr>
          <w:rFonts w:ascii="標楷體" w:hAnsi="標楷體" w:eastAsia="標楷體"/>
          <w:color w:val="000000"/>
          <w:w w:val="101"/>
        </w:rPr>
      </w:pPr>
      <w:r>
        <w:rPr>
          <w:rFonts w:ascii="標楷體" w:hAnsi="標楷體" w:eastAsia="標楷體"/>
          <w:color w:val="000000"/>
          <w:w w:val="101"/>
          <w:highlight w:val="white"/>
        </w:rPr>
        <w:t>論文編審應具「對外公開</w:t>
      </w:r>
      <w:r>
        <w:rPr>
          <w:rFonts w:ascii="標楷體" w:hAnsi="標楷體" w:eastAsia="標楷體"/>
          <w:color w:val="000000"/>
          <w:w w:val="101"/>
        </w:rPr>
        <w:t>徵稿」及「審稿制度」。</w:t>
      </w:r>
    </w:p>
    <w:p>
      <w:pPr>
        <w:pStyle w:val="Normal"/>
        <w:keepNext/>
        <w:numPr>
          <w:ilvl w:val="1"/>
          <w:numId w:val="1"/>
        </w:numPr>
        <w:spacing w:lineRule="exact" w:line="520"/>
        <w:ind w:left="1531" w:right="0" w:hanging="567"/>
        <w:rPr>
          <w:color w:val="000000"/>
          <w:w w:val="101"/>
        </w:rPr>
      </w:pPr>
      <w:r>
        <w:rPr>
          <w:rFonts w:ascii="標楷體" w:hAnsi="標楷體" w:eastAsia="標楷體"/>
          <w:strike w:val="false"/>
          <w:dstrike w:val="false"/>
          <w:color w:val="000000"/>
          <w:w w:val="101"/>
        </w:rPr>
        <w:t>包含本國在內，</w:t>
      </w:r>
      <w:r>
        <w:rPr>
          <w:rFonts w:ascii="標楷體" w:hAnsi="標楷體" w:eastAsia="標楷體"/>
          <w:color w:val="000000"/>
          <w:w w:val="101"/>
        </w:rPr>
        <w:t>至少有</w:t>
      </w:r>
      <w:r>
        <w:rPr>
          <w:rFonts w:eastAsia="標楷體"/>
          <w:color w:val="000000"/>
          <w:w w:val="101"/>
        </w:rPr>
        <w:t>3</w:t>
      </w:r>
      <w:r>
        <w:rPr>
          <w:rFonts w:ascii="標楷體" w:hAnsi="標楷體" w:eastAsia="標楷體"/>
          <w:color w:val="000000"/>
          <w:w w:val="101"/>
        </w:rPr>
        <w:t>個國家或地區以上人員參與論文發表，其中中國大陸、香港及澳門人士僅能算</w:t>
      </w:r>
      <w:r>
        <w:rPr>
          <w:rFonts w:eastAsia="標楷體" w:ascii="標楷體" w:hAnsi="標楷體"/>
          <w:color w:val="000000"/>
          <w:w w:val="101"/>
        </w:rPr>
        <w:t>1</w:t>
      </w:r>
      <w:r>
        <w:rPr>
          <w:rFonts w:ascii="標楷體" w:hAnsi="標楷體" w:eastAsia="標楷體"/>
          <w:color w:val="000000"/>
          <w:w w:val="101"/>
        </w:rPr>
        <w:t>個國家</w:t>
      </w:r>
      <w:r>
        <w:rPr>
          <w:rFonts w:eastAsia="標楷體" w:ascii="標楷體" w:hAnsi="標楷體"/>
          <w:color w:val="000000"/>
          <w:w w:val="101"/>
        </w:rPr>
        <w:t>(</w:t>
      </w:r>
      <w:r>
        <w:rPr>
          <w:rFonts w:ascii="標楷體" w:hAnsi="標楷體" w:eastAsia="標楷體"/>
          <w:color w:val="000000"/>
          <w:w w:val="101"/>
        </w:rPr>
        <w:t>地區</w:t>
      </w:r>
      <w:r>
        <w:rPr>
          <w:rFonts w:eastAsia="標楷體" w:ascii="標楷體" w:hAnsi="標楷體"/>
          <w:color w:val="000000"/>
          <w:w w:val="101"/>
        </w:rPr>
        <w:t>)</w:t>
      </w:r>
      <w:r>
        <w:rPr>
          <w:rFonts w:ascii="標楷體" w:hAnsi="標楷體" w:eastAsia="標楷體"/>
          <w:color w:val="000000"/>
          <w:w w:val="101"/>
        </w:rPr>
        <w:t>數。若參與該會議之外籍人士為舉辦單位之人員者，則不可列入前揭國別</w:t>
      </w:r>
      <w:r>
        <w:rPr>
          <w:rFonts w:eastAsia="標楷體" w:ascii="標楷體" w:hAnsi="標楷體"/>
          <w:color w:val="000000"/>
          <w:w w:val="101"/>
        </w:rPr>
        <w:t>(</w:t>
      </w:r>
      <w:r>
        <w:rPr>
          <w:rFonts w:ascii="標楷體" w:hAnsi="標楷體" w:eastAsia="標楷體"/>
          <w:color w:val="000000"/>
          <w:w w:val="101"/>
        </w:rPr>
        <w:t>地區</w:t>
      </w:r>
      <w:r>
        <w:rPr>
          <w:rFonts w:eastAsia="標楷體" w:ascii="標楷體" w:hAnsi="標楷體"/>
          <w:color w:val="000000"/>
          <w:w w:val="101"/>
        </w:rPr>
        <w:t>)</w:t>
      </w:r>
      <w:r>
        <w:rPr>
          <w:rFonts w:ascii="標楷體" w:hAnsi="標楷體" w:eastAsia="標楷體"/>
          <w:color w:val="000000"/>
          <w:w w:val="101"/>
        </w:rPr>
        <w:t>數之計算。</w:t>
      </w:r>
    </w:p>
    <w:p>
      <w:pPr>
        <w:pStyle w:val="Normal"/>
        <w:keepNext/>
        <w:numPr>
          <w:ilvl w:val="1"/>
          <w:numId w:val="1"/>
        </w:numPr>
        <w:spacing w:lineRule="exact" w:line="520"/>
        <w:ind w:left="1531" w:right="0" w:hanging="567"/>
        <w:rPr>
          <w:rFonts w:ascii="標楷體" w:hAnsi="標楷體" w:eastAsia="標楷體"/>
          <w:color w:val="000000"/>
          <w:w w:val="101"/>
        </w:rPr>
      </w:pPr>
      <w:r>
        <w:rPr>
          <w:rFonts w:ascii="標楷體" w:hAnsi="標楷體" w:eastAsia="標楷體"/>
          <w:color w:val="000000"/>
          <w:w w:val="101"/>
        </w:rPr>
        <w:t>會議之學術內涵與編輯品質須在學術上具重要性及專業貢獻度。</w:t>
      </w:r>
    </w:p>
    <w:p>
      <w:pPr>
        <w:pStyle w:val="Normal"/>
        <w:keepNext/>
        <w:numPr>
          <w:ilvl w:val="0"/>
          <w:numId w:val="1"/>
        </w:numPr>
        <w:tabs>
          <w:tab w:val="left" w:pos="960" w:leader="none"/>
        </w:tabs>
        <w:spacing w:lineRule="exact" w:line="520"/>
        <w:ind w:left="964" w:right="0" w:hanging="964"/>
        <w:jc w:val="both"/>
        <w:rPr>
          <w:color w:val="000000"/>
          <w:w w:val="101"/>
        </w:rPr>
      </w:pPr>
      <w:r>
        <w:rPr>
          <w:rFonts w:ascii="標楷體" w:hAnsi="標楷體" w:eastAsia="標楷體"/>
          <w:color w:val="000000"/>
          <w:w w:val="101"/>
        </w:rPr>
        <w:t>凡以本校名義申請出席國際會議者，須於該會議舉辦日之四週前，繳交下列相關資料至研究發展處學術合作組</w:t>
      </w:r>
      <w:bookmarkStart w:id="0" w:name="_GoBack"/>
      <w:bookmarkEnd w:id="0"/>
      <w:r>
        <w:rPr>
          <w:rFonts w:ascii="標楷體" w:hAnsi="標楷體" w:eastAsia="標楷體"/>
          <w:color w:val="000000"/>
          <w:w w:val="101"/>
        </w:rPr>
        <w:t>進行審核。</w:t>
      </w:r>
    </w:p>
    <w:p>
      <w:pPr>
        <w:pStyle w:val="Normal"/>
        <w:keepNext/>
        <w:numPr>
          <w:ilvl w:val="1"/>
          <w:numId w:val="1"/>
        </w:numPr>
        <w:spacing w:lineRule="exact" w:line="520"/>
        <w:ind w:left="1531" w:right="0" w:hanging="567"/>
        <w:rPr>
          <w:rFonts w:ascii="標楷體" w:hAnsi="標楷體" w:eastAsia="標楷體"/>
          <w:color w:val="000000"/>
          <w:w w:val="101"/>
        </w:rPr>
      </w:pPr>
      <w:r>
        <w:rPr>
          <w:rFonts w:ascii="標楷體" w:hAnsi="標楷體" w:eastAsia="標楷體"/>
          <w:color w:val="000000"/>
          <w:w w:val="101"/>
        </w:rPr>
        <w:t>大同大學教師出席國際會議申請表，包含填寫「出席會議說明」之欄位，說</w:t>
      </w:r>
      <w:r>
        <w:rPr>
          <w:rFonts w:ascii="標楷體" w:hAnsi="標楷體" w:eastAsia="標楷體"/>
          <w:color w:val="000000"/>
          <w:w w:val="101"/>
          <w:highlight w:val="white"/>
        </w:rPr>
        <w:t>明該會議在學術上之影響、重要性及參加此會</w:t>
      </w:r>
      <w:r>
        <w:rPr>
          <w:rFonts w:ascii="標楷體" w:hAnsi="標楷體" w:eastAsia="標楷體"/>
          <w:color w:val="000000"/>
          <w:w w:val="101"/>
          <w:highlight w:val="white"/>
        </w:rPr>
        <w:t>議</w:t>
      </w:r>
      <w:r>
        <w:rPr>
          <w:rFonts w:ascii="標楷體" w:hAnsi="標楷體" w:eastAsia="標楷體"/>
          <w:color w:val="000000"/>
          <w:w w:val="101"/>
          <w:highlight w:val="white"/>
        </w:rPr>
        <w:t>對學</w:t>
      </w:r>
      <w:r>
        <w:rPr>
          <w:rFonts w:ascii="標楷體" w:hAnsi="標楷體" w:eastAsia="標楷體"/>
          <w:color w:val="000000"/>
          <w:w w:val="101"/>
        </w:rPr>
        <w:t>校之貢獻。</w:t>
      </w:r>
    </w:p>
    <w:p>
      <w:pPr>
        <w:pStyle w:val="Normal"/>
        <w:keepNext/>
        <w:numPr>
          <w:ilvl w:val="1"/>
          <w:numId w:val="1"/>
        </w:numPr>
        <w:spacing w:lineRule="exact" w:line="520"/>
        <w:ind w:left="1531" w:right="0" w:hanging="567"/>
        <w:jc w:val="both"/>
        <w:rPr>
          <w:rFonts w:ascii="標楷體" w:hAnsi="標楷體" w:eastAsia="標楷體"/>
          <w:color w:val="000000"/>
          <w:w w:val="101"/>
        </w:rPr>
      </w:pPr>
      <w:r>
        <w:rPr>
          <w:rFonts w:ascii="標楷體" w:hAnsi="標楷體" w:eastAsia="標楷體"/>
          <w:color w:val="000000"/>
          <w:w w:val="101"/>
        </w:rPr>
        <w:t>國際會議主辦單位致申請者本人之正式邀請函或信件，以及論文被接受發表之證明文件。</w:t>
      </w:r>
    </w:p>
    <w:p>
      <w:pPr>
        <w:pStyle w:val="Normal"/>
        <w:keepNext/>
        <w:numPr>
          <w:ilvl w:val="1"/>
          <w:numId w:val="1"/>
        </w:numPr>
        <w:spacing w:lineRule="exact" w:line="520"/>
        <w:ind w:left="1531" w:right="0" w:hanging="567"/>
        <w:jc w:val="both"/>
        <w:rPr>
          <w:rFonts w:ascii="標楷體" w:hAnsi="標楷體" w:eastAsia="標楷體"/>
          <w:color w:val="000000"/>
          <w:w w:val="101"/>
        </w:rPr>
      </w:pPr>
      <w:r>
        <w:rPr>
          <w:rFonts w:ascii="標楷體" w:hAnsi="標楷體" w:eastAsia="標楷體"/>
          <w:color w:val="000000"/>
          <w:w w:val="101"/>
        </w:rPr>
        <w:t>擬發表之論文摘要。</w:t>
      </w:r>
    </w:p>
    <w:p>
      <w:pPr>
        <w:pStyle w:val="Normal"/>
        <w:keepNext/>
        <w:numPr>
          <w:ilvl w:val="1"/>
          <w:numId w:val="1"/>
        </w:numPr>
        <w:spacing w:lineRule="exact" w:line="520"/>
        <w:ind w:left="1531" w:right="0" w:hanging="567"/>
        <w:jc w:val="both"/>
        <w:rPr>
          <w:rFonts w:ascii="標楷體" w:hAnsi="標楷體" w:eastAsia="標楷體"/>
          <w:color w:val="000000"/>
          <w:w w:val="101"/>
        </w:rPr>
      </w:pPr>
      <w:r>
        <w:rPr>
          <w:rFonts w:ascii="標楷體" w:hAnsi="標楷體" w:eastAsia="標楷體"/>
          <w:color w:val="000000"/>
          <w:w w:val="101"/>
        </w:rPr>
        <w:t>國際會議日程表或其他有助審查之資料。</w:t>
      </w:r>
    </w:p>
    <w:p>
      <w:pPr>
        <w:pStyle w:val="Normal"/>
        <w:keepNext/>
        <w:numPr>
          <w:ilvl w:val="1"/>
          <w:numId w:val="1"/>
        </w:numPr>
        <w:spacing w:lineRule="exact" w:line="520"/>
        <w:ind w:left="1531" w:right="0" w:hanging="567"/>
        <w:jc w:val="both"/>
        <w:rPr>
          <w:rFonts w:ascii="標楷體" w:hAnsi="標楷體" w:eastAsia="標楷體"/>
          <w:color w:val="000000"/>
          <w:w w:val="101"/>
        </w:rPr>
      </w:pPr>
      <w:r>
        <w:rPr>
          <w:rFonts w:ascii="標楷體" w:hAnsi="標楷體" w:eastAsia="標楷體"/>
          <w:color w:val="000000"/>
          <w:w w:val="101"/>
        </w:rPr>
        <w:t>若因故無法搭乘本國籍航班，申請人得事先填具「因公出國人員搭乘外國籍航空公司班機申請書」，經校長核定後，可改搭外國籍航空公司班機。如未附申請書，依照行政院之規定，其購買機票之價款，不予核銷。</w:t>
      </w:r>
    </w:p>
    <w:p>
      <w:pPr>
        <w:pStyle w:val="Normal"/>
        <w:keepNext/>
        <w:numPr>
          <w:ilvl w:val="0"/>
          <w:numId w:val="1"/>
        </w:numPr>
        <w:spacing w:lineRule="exact" w:line="520"/>
        <w:ind w:left="1020" w:right="0" w:hanging="1020"/>
        <w:jc w:val="both"/>
        <w:rPr>
          <w:rFonts w:ascii="標楷體" w:hAnsi="標楷體" w:eastAsia="標楷體"/>
          <w:color w:val="000000"/>
          <w:w w:val="101"/>
        </w:rPr>
      </w:pPr>
      <w:r>
        <w:rPr>
          <w:rFonts w:ascii="標楷體" w:hAnsi="標楷體" w:eastAsia="標楷體"/>
          <w:color w:val="000000"/>
          <w:w w:val="101"/>
        </w:rPr>
        <w:t>本校編制內專任或專案教師出席國際會議，須先向科技部或其他校外機構提出申請補助；在未獲得該科技部或其他校外機構全額補助時，始得依本辦法申請補助，總補助金額不得超過實支總額。</w:t>
      </w:r>
    </w:p>
    <w:p>
      <w:pPr>
        <w:pStyle w:val="Normal"/>
        <w:keepNext/>
        <w:numPr>
          <w:ilvl w:val="0"/>
          <w:numId w:val="1"/>
        </w:numPr>
        <w:spacing w:lineRule="exact" w:line="520"/>
        <w:ind w:left="1020" w:right="0" w:hanging="1020"/>
        <w:jc w:val="both"/>
        <w:rPr>
          <w:rFonts w:ascii="標楷體" w:hAnsi="標楷體" w:eastAsia="標楷體"/>
          <w:color w:val="000000"/>
          <w:w w:val="101"/>
        </w:rPr>
      </w:pPr>
      <w:r>
        <w:rPr>
          <w:rFonts w:ascii="標楷體" w:hAnsi="標楷體" w:eastAsia="標楷體"/>
          <w:color w:val="000000"/>
          <w:w w:val="101"/>
        </w:rPr>
        <w:t>申請補助項目：</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往返機票：由國內至國際會議舉行地點之經濟艙往返機票，按行政院核定之定額內核實補助，由受補助人先自行墊付。</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會議註冊費：不包括其他雜支，如論文集、會員年費、餐費等。</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會議期間生活費：生活費支給天數及數額，依據「中央政府各機關派赴國外各地區及大陸地區出差人員生活費日支數額」為基準。</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補助項目包括基本補助與獎勵補助。基本補助金額為新臺幣</w:t>
      </w:r>
      <w:r>
        <w:rPr>
          <w:rFonts w:eastAsia="標楷體" w:ascii="標楷體" w:hAnsi="標楷體"/>
          <w:color w:val="000000"/>
          <w:w w:val="101"/>
        </w:rPr>
        <w:t>1</w:t>
      </w:r>
      <w:r>
        <w:rPr>
          <w:rFonts w:ascii="標楷體" w:hAnsi="標楷體" w:eastAsia="標楷體"/>
          <w:color w:val="000000"/>
          <w:w w:val="101"/>
        </w:rPr>
        <w:t>萬元，獎勵補助視申請者個人之教學、研究、服務及產學合作成果。申請著須檢附相關文件作為其他補助之審查依據。研究發展處學術合作組依據審查結果視當年度預算核定補助金額。</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歐洲、美洲、澳洲、非洲等地區，補助上限為新台幣</w:t>
      </w:r>
      <w:r>
        <w:rPr>
          <w:rFonts w:eastAsia="標楷體" w:ascii="標楷體" w:hAnsi="標楷體"/>
          <w:color w:val="000000"/>
          <w:w w:val="101"/>
        </w:rPr>
        <w:t>8</w:t>
      </w:r>
      <w:r>
        <w:rPr>
          <w:rFonts w:ascii="標楷體" w:hAnsi="標楷體" w:eastAsia="標楷體"/>
          <w:color w:val="000000"/>
          <w:w w:val="101"/>
        </w:rPr>
        <w:t>萬元；亞洲地區，補助上限為新台幣</w:t>
      </w:r>
      <w:r>
        <w:rPr>
          <w:rFonts w:eastAsia="標楷體" w:ascii="標楷體" w:hAnsi="標楷體"/>
          <w:color w:val="000000"/>
          <w:w w:val="101"/>
        </w:rPr>
        <w:t>4</w:t>
      </w:r>
      <w:r>
        <w:rPr>
          <w:rFonts w:ascii="標楷體" w:hAnsi="標楷體" w:eastAsia="標楷體"/>
          <w:color w:val="000000"/>
          <w:w w:val="101"/>
        </w:rPr>
        <w:t>萬</w:t>
      </w:r>
      <w:r>
        <w:rPr>
          <w:rFonts w:eastAsia="標楷體" w:ascii="標楷體" w:hAnsi="標楷體"/>
          <w:color w:val="000000"/>
          <w:w w:val="101"/>
        </w:rPr>
        <w:t>5</w:t>
      </w:r>
      <w:r>
        <w:rPr>
          <w:rFonts w:ascii="標楷體" w:hAnsi="標楷體" w:eastAsia="標楷體"/>
          <w:color w:val="000000"/>
          <w:w w:val="101"/>
        </w:rPr>
        <w:t>仟元。</w:t>
      </w:r>
    </w:p>
    <w:p>
      <w:pPr>
        <w:pStyle w:val="Normal"/>
        <w:keepNext/>
        <w:numPr>
          <w:ilvl w:val="0"/>
          <w:numId w:val="1"/>
        </w:numPr>
        <w:spacing w:lineRule="exact" w:line="520" w:before="57" w:after="57"/>
        <w:ind w:left="1020" w:right="0" w:hanging="1020"/>
        <w:jc w:val="both"/>
        <w:rPr>
          <w:rFonts w:ascii="標楷體" w:hAnsi="標楷體" w:eastAsia="標楷體"/>
          <w:color w:val="000000"/>
          <w:w w:val="101"/>
        </w:rPr>
      </w:pPr>
      <w:r>
        <w:rPr>
          <w:rFonts w:ascii="標楷體" w:hAnsi="標楷體" w:eastAsia="標楷體"/>
          <w:color w:val="000000"/>
          <w:w w:val="101"/>
        </w:rPr>
        <w:t>補助案實核原則如下：</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所提論文之原創性、重要性、研究成果與貢獻。</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參加國際會議之性質、規模及其學術上之重要性。</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每位教師每年度以補助一次為限。</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論文為合著時，以補助一人為限，合著作者若為本校教師，須繳交合著者放棄申請同意書。</w:t>
      </w:r>
    </w:p>
    <w:p>
      <w:pPr>
        <w:pStyle w:val="Normal"/>
        <w:keepNext/>
        <w:numPr>
          <w:ilvl w:val="1"/>
          <w:numId w:val="1"/>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會期及路程期間本校核給公假，但提前出發或延後返國的期間須另請假，亦不補助生活費。</w:t>
      </w:r>
    </w:p>
    <w:p>
      <w:pPr>
        <w:pStyle w:val="Normal"/>
        <w:keepNext/>
        <w:numPr>
          <w:ilvl w:val="0"/>
          <w:numId w:val="1"/>
        </w:numPr>
        <w:spacing w:lineRule="exact" w:line="520"/>
        <w:ind w:left="1020" w:right="0" w:hanging="1020"/>
        <w:jc w:val="both"/>
        <w:rPr>
          <w:rFonts w:ascii="標楷體" w:hAnsi="標楷體" w:eastAsia="標楷體"/>
          <w:color w:val="000000"/>
          <w:w w:val="101"/>
        </w:rPr>
      </w:pPr>
      <w:r>
        <w:rPr>
          <w:rFonts w:ascii="標楷體" w:hAnsi="標楷體" w:eastAsia="標楷體"/>
          <w:color w:val="000000"/>
          <w:w w:val="101"/>
        </w:rPr>
        <w:t>獲核定補助者，如有變更行程或取消行程時，須於一星期前先簽請研究發展處學術合作組同意。</w:t>
      </w:r>
    </w:p>
    <w:p>
      <w:pPr>
        <w:pStyle w:val="Normal"/>
        <w:keepNext/>
        <w:numPr>
          <w:ilvl w:val="0"/>
          <w:numId w:val="1"/>
        </w:numPr>
        <w:spacing w:lineRule="exact" w:line="520"/>
        <w:ind w:left="1020" w:right="0" w:hanging="1020"/>
        <w:jc w:val="both"/>
        <w:rPr>
          <w:rFonts w:ascii="標楷體" w:hAnsi="標楷體" w:eastAsia="標楷體"/>
          <w:color w:val="000000"/>
          <w:w w:val="101"/>
        </w:rPr>
      </w:pPr>
      <w:r>
        <w:rPr>
          <w:rFonts w:ascii="標楷體" w:hAnsi="標楷體" w:eastAsia="標楷體"/>
          <w:color w:val="000000"/>
          <w:w w:val="101"/>
        </w:rPr>
        <w:t>出席國際會議者須於會議舉行完畢後一個月內</w:t>
      </w:r>
      <w:r>
        <w:rPr>
          <w:rFonts w:eastAsia="標楷體" w:ascii="標楷體" w:hAnsi="標楷體"/>
          <w:color w:val="000000"/>
          <w:w w:val="101"/>
        </w:rPr>
        <w:t>(</w:t>
      </w:r>
      <w:r>
        <w:rPr>
          <w:rFonts w:ascii="標楷體" w:hAnsi="標楷體" w:eastAsia="標楷體"/>
          <w:color w:val="000000"/>
          <w:w w:val="101"/>
        </w:rPr>
        <w:t>須配合本校經費核銷作業時程</w:t>
      </w:r>
      <w:r>
        <w:rPr>
          <w:rFonts w:eastAsia="標楷體" w:ascii="標楷體" w:hAnsi="標楷體"/>
          <w:color w:val="000000"/>
          <w:w w:val="101"/>
        </w:rPr>
        <w:t>)</w:t>
      </w:r>
      <w:r>
        <w:rPr>
          <w:rFonts w:ascii="標楷體" w:hAnsi="標楷體" w:eastAsia="標楷體"/>
          <w:color w:val="000000"/>
          <w:w w:val="101"/>
        </w:rPr>
        <w:t>，提交出席國際會議報告。</w:t>
      </w:r>
    </w:p>
    <w:p>
      <w:pPr>
        <w:pStyle w:val="Normal"/>
        <w:keepNext/>
        <w:numPr>
          <w:ilvl w:val="0"/>
          <w:numId w:val="1"/>
        </w:numPr>
        <w:spacing w:lineRule="exact" w:line="520"/>
        <w:ind w:left="1020" w:right="0" w:hanging="1020"/>
        <w:jc w:val="both"/>
        <w:rPr>
          <w:rFonts w:ascii="標楷體" w:hAnsi="標楷體" w:eastAsia="標楷體"/>
          <w:color w:val="000000"/>
          <w:w w:val="101"/>
        </w:rPr>
      </w:pPr>
      <w:r>
        <w:rPr>
          <w:rFonts w:ascii="標楷體" w:hAnsi="標楷體" w:eastAsia="標楷體"/>
          <w:color w:val="000000"/>
          <w:w w:val="101"/>
        </w:rPr>
        <w:t>如獲補助者，須備齊下列文件，並依本校會計室規定辦理核銷歸墊。</w:t>
      </w:r>
    </w:p>
    <w:p>
      <w:pPr>
        <w:pStyle w:val="Normal"/>
        <w:keepNext/>
        <w:numPr>
          <w:ilvl w:val="0"/>
          <w:numId w:val="2"/>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同意補助之「大同大學教師出席國際會議申請表」影本。</w:t>
      </w:r>
    </w:p>
    <w:p>
      <w:pPr>
        <w:pStyle w:val="Normal"/>
        <w:keepNext/>
        <w:numPr>
          <w:ilvl w:val="0"/>
          <w:numId w:val="2"/>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國外出差旅費報告表：</w:t>
      </w:r>
    </w:p>
    <w:p>
      <w:pPr>
        <w:pStyle w:val="Normal"/>
        <w:keepNext/>
        <w:numPr>
          <w:ilvl w:val="0"/>
          <w:numId w:val="3"/>
        </w:numPr>
        <w:spacing w:lineRule="exact" w:line="520"/>
        <w:ind w:left="1985" w:right="0" w:hanging="284"/>
        <w:rPr>
          <w:rFonts w:ascii="標楷體" w:hAnsi="標楷體" w:eastAsia="標楷體"/>
          <w:color w:val="000000"/>
          <w:w w:val="101"/>
        </w:rPr>
      </w:pPr>
      <w:r>
        <w:rPr>
          <w:rFonts w:ascii="標楷體" w:hAnsi="標楷體" w:eastAsia="標楷體"/>
          <w:color w:val="000000"/>
          <w:w w:val="101"/>
        </w:rPr>
        <w:t>機票票根</w:t>
      </w:r>
      <w:r>
        <w:rPr>
          <w:rFonts w:eastAsia="標楷體" w:ascii="標楷體" w:hAnsi="標楷體"/>
          <w:color w:val="000000"/>
          <w:w w:val="101"/>
        </w:rPr>
        <w:br/>
      </w:r>
      <w:r>
        <w:rPr>
          <w:rFonts w:ascii="標楷體" w:hAnsi="標楷體" w:eastAsia="標楷體"/>
          <w:color w:val="000000"/>
          <w:w w:val="101"/>
        </w:rPr>
        <w:t>檢附機票票根、旅行業代收轉付收據</w:t>
      </w:r>
      <w:r>
        <w:rPr>
          <w:rFonts w:eastAsia="標楷體" w:ascii="標楷體" w:hAnsi="標楷體"/>
          <w:color w:val="000000"/>
          <w:w w:val="101"/>
        </w:rPr>
        <w:t>(</w:t>
      </w:r>
      <w:r>
        <w:rPr>
          <w:rFonts w:ascii="標楷體" w:hAnsi="標楷體" w:eastAsia="標楷體"/>
          <w:color w:val="000000"/>
          <w:w w:val="101"/>
        </w:rPr>
        <w:t>自行購買者須付信用卡帳單或繳費明細</w:t>
      </w:r>
      <w:r>
        <w:rPr>
          <w:rFonts w:eastAsia="標楷體" w:ascii="標楷體" w:hAnsi="標楷體"/>
          <w:color w:val="000000"/>
          <w:w w:val="101"/>
        </w:rPr>
        <w:t>)</w:t>
      </w:r>
      <w:r>
        <w:rPr>
          <w:rFonts w:ascii="標楷體" w:hAnsi="標楷體" w:eastAsia="標楷體"/>
          <w:color w:val="000000"/>
          <w:w w:val="101"/>
        </w:rPr>
        <w:t>，另倘係電子機票，請加附登機證。</w:t>
      </w:r>
    </w:p>
    <w:p>
      <w:pPr>
        <w:pStyle w:val="Normal"/>
        <w:keepNext/>
        <w:numPr>
          <w:ilvl w:val="0"/>
          <w:numId w:val="3"/>
        </w:numPr>
        <w:spacing w:lineRule="exact" w:line="520"/>
        <w:ind w:left="1985" w:right="0" w:hanging="284"/>
        <w:jc w:val="both"/>
        <w:rPr>
          <w:rFonts w:ascii="標楷體" w:hAnsi="標楷體" w:eastAsia="標楷體"/>
          <w:color w:val="000000"/>
          <w:w w:val="101"/>
        </w:rPr>
      </w:pPr>
      <w:r>
        <w:rPr>
          <w:rFonts w:ascii="標楷體" w:hAnsi="標楷體" w:eastAsia="標楷體"/>
          <w:color w:val="000000"/>
          <w:w w:val="101"/>
        </w:rPr>
        <w:t>國際會議註冊費收據、外幣兌換水單或提供實際出國前一天之臺灣銀行賣出現金即期美元參考匯價</w:t>
      </w:r>
      <w:r>
        <w:rPr>
          <w:rFonts w:eastAsia="標楷體" w:ascii="標楷體" w:hAnsi="標楷體"/>
          <w:color w:val="000000"/>
          <w:w w:val="101"/>
        </w:rPr>
        <w:t>(</w:t>
      </w:r>
      <w:r>
        <w:rPr>
          <w:rFonts w:ascii="標楷體" w:hAnsi="標楷體" w:eastAsia="標楷體"/>
          <w:color w:val="000000"/>
          <w:w w:val="101"/>
        </w:rPr>
        <w:t>如逢假日提前於假日前一上班日</w:t>
      </w:r>
      <w:r>
        <w:rPr>
          <w:rFonts w:eastAsia="標楷體" w:ascii="標楷體" w:hAnsi="標楷體"/>
          <w:color w:val="000000"/>
          <w:w w:val="101"/>
        </w:rPr>
        <w:t>)</w:t>
      </w:r>
      <w:r>
        <w:rPr>
          <w:rFonts w:ascii="標楷體" w:hAnsi="標楷體" w:eastAsia="標楷體"/>
          <w:color w:val="000000"/>
          <w:w w:val="101"/>
        </w:rPr>
        <w:t>為依據報支。</w:t>
      </w:r>
    </w:p>
    <w:p>
      <w:pPr>
        <w:pStyle w:val="Normal"/>
        <w:keepNext/>
        <w:numPr>
          <w:ilvl w:val="0"/>
          <w:numId w:val="3"/>
        </w:numPr>
        <w:spacing w:lineRule="exact" w:line="520"/>
        <w:ind w:left="1985" w:right="0" w:hanging="284"/>
        <w:jc w:val="both"/>
        <w:rPr>
          <w:rFonts w:ascii="標楷體" w:hAnsi="標楷體" w:eastAsia="標楷體"/>
          <w:color w:val="000000"/>
          <w:w w:val="101"/>
        </w:rPr>
      </w:pPr>
      <w:r>
        <w:rPr>
          <w:rFonts w:ascii="標楷體" w:hAnsi="標楷體" w:eastAsia="標楷體"/>
          <w:color w:val="000000"/>
          <w:w w:val="101"/>
        </w:rPr>
        <w:t>生活費依據行政院頒「國外出差旅費報支要點」後附之「中央政府各機關派赴國外各地區出差人員生活費日支數額表」計支。</w:t>
      </w:r>
    </w:p>
    <w:p>
      <w:pPr>
        <w:pStyle w:val="Normal"/>
        <w:keepNext/>
        <w:numPr>
          <w:ilvl w:val="0"/>
          <w:numId w:val="2"/>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印有申請者姓名之議程。</w:t>
      </w:r>
    </w:p>
    <w:p>
      <w:pPr>
        <w:pStyle w:val="Normal"/>
        <w:keepNext/>
        <w:numPr>
          <w:ilvl w:val="0"/>
          <w:numId w:val="2"/>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大同大學出差命令單。</w:t>
      </w:r>
    </w:p>
    <w:p>
      <w:pPr>
        <w:pStyle w:val="Normal"/>
        <w:keepNext/>
        <w:numPr>
          <w:ilvl w:val="0"/>
          <w:numId w:val="2"/>
        </w:numPr>
        <w:spacing w:lineRule="exact" w:line="520"/>
        <w:ind w:left="1588" w:right="0" w:hanging="567"/>
        <w:jc w:val="both"/>
        <w:rPr>
          <w:rFonts w:ascii="標楷體" w:hAnsi="標楷體" w:eastAsia="標楷體"/>
          <w:color w:val="000000"/>
          <w:w w:val="101"/>
        </w:rPr>
      </w:pPr>
      <w:r>
        <w:rPr>
          <w:rFonts w:ascii="標楷體" w:hAnsi="標楷體" w:eastAsia="標楷體"/>
          <w:color w:val="000000"/>
          <w:w w:val="101"/>
        </w:rPr>
        <w:t>出席國際會議報告</w:t>
      </w:r>
      <w:r>
        <w:rPr>
          <w:rFonts w:eastAsia="標楷體" w:ascii="標楷體" w:hAnsi="標楷體"/>
          <w:color w:val="000000"/>
          <w:w w:val="101"/>
        </w:rPr>
        <w:t>(</w:t>
      </w:r>
      <w:r>
        <w:rPr>
          <w:rFonts w:ascii="標楷體" w:hAnsi="標楷體" w:eastAsia="標楷體"/>
          <w:color w:val="000000"/>
          <w:w w:val="101"/>
        </w:rPr>
        <w:t>紙本與電子檔</w:t>
      </w:r>
      <w:r>
        <w:rPr>
          <w:rFonts w:eastAsia="標楷體" w:ascii="標楷體" w:hAnsi="標楷體"/>
          <w:color w:val="000000"/>
          <w:w w:val="101"/>
        </w:rPr>
        <w:t>)</w:t>
      </w:r>
      <w:r>
        <w:rPr>
          <w:rFonts w:ascii="標楷體" w:hAnsi="標楷體" w:eastAsia="標楷體"/>
          <w:color w:val="000000"/>
          <w:w w:val="101"/>
        </w:rPr>
        <w:t>。</w:t>
      </w:r>
    </w:p>
    <w:p>
      <w:pPr>
        <w:pStyle w:val="Normal"/>
        <w:keepNext/>
        <w:spacing w:lineRule="exact" w:line="520"/>
        <w:ind w:left="1021" w:right="0" w:hanging="0"/>
        <w:jc w:val="both"/>
        <w:rPr>
          <w:rFonts w:ascii="標楷體" w:hAnsi="標楷體" w:eastAsia="標楷體"/>
          <w:color w:val="000000"/>
          <w:w w:val="101"/>
        </w:rPr>
      </w:pPr>
      <w:r>
        <w:rPr>
          <w:rFonts w:ascii="標楷體" w:hAnsi="標楷體" w:eastAsia="標楷體"/>
          <w:color w:val="000000"/>
          <w:w w:val="101"/>
        </w:rPr>
        <w:t>未依上述之規定辦理者，再次申請時，不予補助。</w:t>
      </w:r>
    </w:p>
    <w:p>
      <w:pPr>
        <w:pStyle w:val="Normal"/>
        <w:keepNext/>
        <w:numPr>
          <w:ilvl w:val="0"/>
          <w:numId w:val="1"/>
        </w:numPr>
        <w:spacing w:lineRule="exact" w:line="520"/>
        <w:ind w:left="1020" w:right="0" w:hanging="1020"/>
        <w:jc w:val="both"/>
        <w:rPr>
          <w:rFonts w:ascii="標楷體" w:hAnsi="標楷體" w:eastAsia="標楷體"/>
          <w:color w:val="000000"/>
          <w:w w:val="101"/>
        </w:rPr>
      </w:pPr>
      <w:r>
        <w:rPr>
          <w:rFonts w:ascii="標楷體" w:hAnsi="標楷體" w:eastAsia="標楷體"/>
          <w:color w:val="000000"/>
          <w:w w:val="101"/>
        </w:rPr>
        <w:t>本辦法未盡事宜，悉依本校相關規定辦理。</w:t>
      </w:r>
    </w:p>
    <w:p>
      <w:pPr>
        <w:pStyle w:val="Normal"/>
        <w:keepNext/>
        <w:numPr>
          <w:ilvl w:val="0"/>
          <w:numId w:val="1"/>
        </w:numPr>
        <w:spacing w:lineRule="exact" w:line="520"/>
        <w:ind w:left="1020" w:right="0" w:hanging="1020"/>
        <w:jc w:val="both"/>
        <w:rPr>
          <w:rFonts w:ascii="標楷體" w:hAnsi="標楷體" w:eastAsia="標楷體" w:cs="DFKaiShu-SB-Estd-BF;Arial Unicode MS"/>
          <w:b w:val="false"/>
          <w:b w:val="false"/>
          <w:bCs w:val="false"/>
          <w:color w:val="000000"/>
          <w:w w:val="101"/>
          <w:sz w:val="24"/>
          <w:szCs w:val="24"/>
        </w:rPr>
      </w:pPr>
      <w:r>
        <w:rPr>
          <w:rFonts w:ascii="標楷體" w:hAnsi="標楷體" w:cs="DFKaiShu-SB-Estd-BF;Arial Unicode MS" w:eastAsia="標楷體"/>
          <w:b w:val="false"/>
          <w:bCs w:val="false"/>
          <w:color w:val="000000"/>
          <w:w w:val="101"/>
          <w:sz w:val="24"/>
          <w:szCs w:val="24"/>
        </w:rPr>
        <w:t>本辦法經行政會議通過後實施，修正時亦同。</w:t>
      </w:r>
    </w:p>
    <w:sectPr>
      <w:type w:val="nextPage"/>
      <w:pgSz w:w="11906" w:h="16838"/>
      <w:pgMar w:left="1800" w:right="180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標楷體">
    <w:charset w:val="88"/>
    <w:family w:val="roman"/>
    <w:pitch w:val="variable"/>
  </w:font>
  <w:font w:name="Liberation Sans">
    <w:altName w:val="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第%1條"/>
      <w:lvlJc w:val="left"/>
      <w:pPr>
        <w:ind w:left="720" w:hanging="720"/>
      </w:pPr>
      <w:rPr>
        <w:rFonts w:ascii="標楷體" w:hAnsi="標楷體" w:eastAsia="標楷體"/>
        <w:color w:val="00000A"/>
      </w:rPr>
    </w:lvl>
    <w:lvl w:ilvl="1">
      <w:start w:val="1"/>
      <w:numFmt w:val="taiwaneseCountingThousand"/>
      <w:lvlText w:val="%2、"/>
      <w:lvlJc w:val="left"/>
      <w:pPr>
        <w:ind w:left="960" w:hanging="480"/>
      </w:pPr>
      <w:rPr>
        <w:rFonts w:ascii="標楷體" w:hAnsi="標楷體" w:eastAsia="標楷體" w:cs="新細明體;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tabs>
          <w:tab w:val="num" w:pos="720"/>
        </w:tabs>
        <w:ind w:left="720" w:hanging="360"/>
      </w:pPr>
    </w:lvl>
    <w:lvl w:ilvl="1">
      <w:start w:val="1"/>
      <w:numFmt w:val="taiwaneseCountingThousand"/>
      <w:lvlText w:val="%2、"/>
      <w:lvlJc w:val="left"/>
      <w:pPr>
        <w:tabs>
          <w:tab w:val="num" w:pos="1080"/>
        </w:tabs>
        <w:ind w:left="1080" w:hanging="360"/>
      </w:pPr>
    </w:lvl>
    <w:lvl w:ilvl="2">
      <w:start w:val="1"/>
      <w:numFmt w:val="taiwaneseCountingThousand"/>
      <w:lvlText w:val="%3、"/>
      <w:lvlJc w:val="left"/>
      <w:pPr>
        <w:tabs>
          <w:tab w:val="num" w:pos="1440"/>
        </w:tabs>
        <w:ind w:left="1440" w:hanging="360"/>
      </w:pPr>
    </w:lvl>
    <w:lvl w:ilvl="3">
      <w:start w:val="1"/>
      <w:numFmt w:val="taiwaneseCountingThousand"/>
      <w:lvlText w:val="%4、"/>
      <w:lvlJc w:val="left"/>
      <w:pPr>
        <w:tabs>
          <w:tab w:val="num" w:pos="1800"/>
        </w:tabs>
        <w:ind w:left="1800" w:hanging="360"/>
      </w:pPr>
    </w:lvl>
    <w:lvl w:ilvl="4">
      <w:start w:val="1"/>
      <w:numFmt w:val="taiwaneseCountingThousand"/>
      <w:lvlText w:val="%5、"/>
      <w:lvlJc w:val="left"/>
      <w:pPr>
        <w:tabs>
          <w:tab w:val="num" w:pos="2160"/>
        </w:tabs>
        <w:ind w:left="2160" w:hanging="360"/>
      </w:pPr>
    </w:lvl>
    <w:lvl w:ilvl="5">
      <w:start w:val="1"/>
      <w:numFmt w:val="taiwaneseCountingThousand"/>
      <w:lvlText w:val="%6、"/>
      <w:lvlJc w:val="left"/>
      <w:pPr>
        <w:tabs>
          <w:tab w:val="num" w:pos="2520"/>
        </w:tabs>
        <w:ind w:left="2520" w:hanging="360"/>
      </w:pPr>
    </w:lvl>
    <w:lvl w:ilvl="6">
      <w:start w:val="1"/>
      <w:numFmt w:val="taiwaneseCountingThousand"/>
      <w:lvlText w:val="%7、"/>
      <w:lvlJc w:val="left"/>
      <w:pPr>
        <w:tabs>
          <w:tab w:val="num" w:pos="2880"/>
        </w:tabs>
        <w:ind w:left="2880" w:hanging="360"/>
      </w:pPr>
    </w:lvl>
    <w:lvl w:ilvl="7">
      <w:start w:val="1"/>
      <w:numFmt w:val="taiwaneseCountingThousand"/>
      <w:lvlText w:val="%8、"/>
      <w:lvlJc w:val="left"/>
      <w:pPr>
        <w:tabs>
          <w:tab w:val="num" w:pos="3240"/>
        </w:tabs>
        <w:ind w:left="3240" w:hanging="360"/>
      </w:pPr>
    </w:lvl>
    <w:lvl w:ilvl="8">
      <w:start w:val="1"/>
      <w:numFmt w:val="taiwaneseCountingThousand"/>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Unicode M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標楷體" w:cs="Times New Roman"/>
      <w:b w:val="false"/>
      <w:i w:val="false"/>
    </w:rPr>
  </w:style>
  <w:style w:type="character" w:styleId="WW8Num3z1">
    <w:name w:val="WW8Num3z1"/>
    <w:qFormat/>
    <w:rPr>
      <w:b w:val="false"/>
      <w:i w:val="false"/>
      <w:color w:val="00000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標楷體" w:cs="Times New Roman"/>
      <w:b w:val="false"/>
      <w:i w:val="false"/>
      <w:lang w:val="en-US"/>
    </w:rPr>
  </w:style>
  <w:style w:type="character" w:styleId="WW8Num4z1">
    <w:name w:val="WW8Num4z1"/>
    <w:qFormat/>
    <w:rPr>
      <w:b w:val="false"/>
      <w:i w:val="false"/>
      <w:color w:val="000000"/>
    </w:rPr>
  </w:style>
  <w:style w:type="character" w:styleId="WW8Num4z2">
    <w:name w:val="WW8Num4z2"/>
    <w:qFormat/>
    <w:rPr/>
  </w:style>
  <w:style w:type="character" w:styleId="WW8Num4z4">
    <w:name w:val="WW8Num4z4"/>
    <w:qFormat/>
    <w:rPr>
      <w:rFonts w:ascii="Times New Roman" w:hAnsi="Times New Roman" w:cs="Times New Roman"/>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eastAsia="標楷體"/>
      <w:b w:val="false"/>
      <w:i w:val="false"/>
      <w:lang w:val="en-US"/>
    </w:rPr>
  </w:style>
  <w:style w:type="character" w:styleId="WW8Num6z1">
    <w:name w:val="WW8Num6z1"/>
    <w:qFormat/>
    <w:rPr>
      <w:b w:val="false"/>
      <w:i w:val="false"/>
      <w:color w:val="000000"/>
    </w:rPr>
  </w:style>
  <w:style w:type="character" w:styleId="WW8Num6z2">
    <w:name w:val="WW8Num6z2"/>
    <w:qFormat/>
    <w:rPr/>
  </w:style>
  <w:style w:type="character" w:styleId="WW8Num6z4">
    <w:name w:val="WW8Num6z4"/>
    <w:qFormat/>
    <w:rPr>
      <w:rFonts w:ascii="Times New Roman" w:hAnsi="Times New Roman" w:cs="Times New Roman"/>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標楷體" w:cs="Times New Roman"/>
      <w:b w:val="false"/>
      <w:i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i w:val="fals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color w:val="00000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標楷體" w:cs="Times New Roman"/>
      <w:b w:val="false"/>
      <w:i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標楷體" w:cs="Times New Roman"/>
      <w:b w:val="false"/>
      <w:i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color w:val="000000"/>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val="false"/>
      <w:i w:val="false"/>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color w:val="000000"/>
      <w:lang w:val="en-US"/>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標楷體" w:cs="Times New Roman"/>
      <w:b w:val="false"/>
      <w:i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color w:val="00000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rFonts w:eastAsia="華康標楷體;標楷體"/>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3z0">
    <w:name w:val="WW8Num23z0"/>
    <w:qFormat/>
    <w:rPr>
      <w:rFonts w:ascii="Times New Roman" w:hAnsi="Times New Roman" w:eastAsia="標楷體" w:cs="Times New Roman"/>
      <w:b w:val="false"/>
      <w:i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yle14">
    <w:name w:val="預設段落字型"/>
    <w:qFormat/>
    <w:rPr/>
  </w:style>
  <w:style w:type="character" w:styleId="Style15">
    <w:name w:val="頁首 字元"/>
    <w:qFormat/>
    <w:rPr/>
  </w:style>
  <w:style w:type="character" w:styleId="Style16">
    <w:name w:val="頁尾 字元"/>
    <w:qFormat/>
    <w:rPr/>
  </w:style>
  <w:style w:type="character" w:styleId="Style17">
    <w:name w:val="註解方塊文字 字元"/>
    <w:qFormat/>
    <w:rPr>
      <w:rFonts w:ascii="Cambria" w:hAnsi="Cambria" w:eastAsia="新細明體;PMingLiU" w:cs="Times New Roman"/>
      <w:sz w:val="18"/>
      <w:szCs w:val="18"/>
    </w:rPr>
  </w:style>
  <w:style w:type="character" w:styleId="ListLabel3">
    <w:name w:val="ListLabel 3"/>
    <w:qFormat/>
    <w:rPr>
      <w:rFonts w:ascii="標楷體" w:hAnsi="標楷體" w:eastAsia="標楷體"/>
      <w:color w:val="00000A"/>
    </w:rPr>
  </w:style>
  <w:style w:type="character" w:styleId="ListLabel4">
    <w:name w:val="ListLabel 4"/>
    <w:qFormat/>
    <w:rPr>
      <w:rFonts w:ascii="標楷體" w:hAnsi="標楷體" w:eastAsia="標楷體" w:cs="新細明體;PMingLiU"/>
    </w:rPr>
  </w:style>
  <w:style w:type="paragraph" w:styleId="Style18">
    <w:name w:val="標題"/>
    <w:basedOn w:val="Normal"/>
    <w:next w:val="Style19"/>
    <w:qFormat/>
    <w:pPr>
      <w:keepNext/>
      <w:spacing w:before="240" w:after="120"/>
    </w:pPr>
    <w:rPr>
      <w:rFonts w:ascii="Liberation Sans" w:hAnsi="Liberation Sans" w:eastAsia="微軟正黑體" w:cs="Arial Unicode M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索引"/>
    <w:basedOn w:val="Normal"/>
    <w:qFormat/>
    <w:pPr>
      <w:suppressLineNumbers/>
    </w:pPr>
    <w:rPr>
      <w:rFonts w:cs="Arial Unicode MS"/>
    </w:rPr>
  </w:style>
  <w:style w:type="paragraph" w:styleId="Style23">
    <w:name w:val="Header"/>
    <w:basedOn w:val="Normal"/>
    <w:pPr>
      <w:tabs>
        <w:tab w:val="center" w:pos="4153" w:leader="none"/>
        <w:tab w:val="right" w:pos="8306" w:leader="none"/>
      </w:tabs>
      <w:snapToGrid w:val="false"/>
    </w:pPr>
    <w:rPr>
      <w:sz w:val="20"/>
      <w:szCs w:val="20"/>
    </w:rPr>
  </w:style>
  <w:style w:type="paragraph" w:styleId="Style24">
    <w:name w:val="Footer"/>
    <w:basedOn w:val="Normal"/>
    <w:pPr>
      <w:tabs>
        <w:tab w:val="center" w:pos="4153" w:leader="none"/>
        <w:tab w:val="right" w:pos="8306" w:leader="none"/>
      </w:tabs>
      <w:snapToGrid w:val="false"/>
    </w:pPr>
    <w:rPr>
      <w:sz w:val="20"/>
      <w:szCs w:val="20"/>
    </w:rPr>
  </w:style>
  <w:style w:type="paragraph" w:styleId="Style25">
    <w:name w:val="清單段落"/>
    <w:basedOn w:val="Normal"/>
    <w:qFormat/>
    <w:pPr>
      <w:ind w:left="480" w:right="0" w:hanging="0"/>
    </w:pPr>
    <w:rPr/>
  </w:style>
  <w:style w:type="paragraph" w:styleId="Style26">
    <w:name w:val="註解方塊文字"/>
    <w:basedOn w:val="Normal"/>
    <w:qFormat/>
    <w:pPr/>
    <w:rPr>
      <w:rFonts w:ascii="Cambria" w:hAnsi="Cambria" w:eastAsia="新細明體;PMingLiU" w:cs="Times New Roman"/>
      <w:sz w:val="18"/>
      <w:szCs w:val="18"/>
    </w:rPr>
  </w:style>
  <w:style w:type="paragraph" w:styleId="Style27">
    <w:name w:val="修訂"/>
    <w:qFormat/>
    <w:pPr>
      <w:widowControl/>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paragraph" w:styleId="Standard">
    <w:name w:val="Standard"/>
    <w:qFormat/>
    <w:pPr>
      <w:keepNext/>
      <w:widowControl/>
      <w:shd w:fill="FFFFFF" w:val="clear"/>
      <w:suppressAutoHyphens w:val="true"/>
      <w:kinsoku w:val="true"/>
      <w:overflowPunct w:val="true"/>
      <w:autoSpaceDE w:val="true"/>
      <w:bidi w:val="0"/>
      <w:jc w:val="left"/>
      <w:textAlignment w:val="baseline"/>
    </w:pPr>
    <w:rPr>
      <w:rFonts w:ascii="Times New Roman" w:hAnsi="Times New Roman" w:eastAsia="新細明體;PMingLiU" w:cs="Times New Roman"/>
      <w:color w:val="auto"/>
      <w:sz w:val="24"/>
      <w:szCs w:val="24"/>
      <w:lang w:val="en-US" w:eastAsia="zh-TW" w:bidi="hi-IN"/>
    </w:rPr>
  </w:style>
  <w:style w:type="paragraph" w:styleId="Default">
    <w:name w:val="Default"/>
    <w:qFormat/>
    <w:pPr>
      <w:keepNext/>
      <w:widowControl/>
      <w:shd w:fill="FFFFFF" w:val="clear"/>
      <w:kinsoku w:val="true"/>
      <w:overflowPunct w:val="true"/>
      <w:autoSpaceDE w:val="true"/>
      <w:bidi w:val="0"/>
      <w:jc w:val="left"/>
    </w:pPr>
    <w:rPr>
      <w:rFonts w:ascii="標楷體" w:hAnsi="標楷體" w:eastAsia="標楷體" w:cs="標楷體"/>
      <w:color w:val="000000"/>
      <w:sz w:val="24"/>
      <w:szCs w:val="24"/>
      <w:lang w:val="en-US" w:eastAsia="zh-TW"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LibreOffice/5.3.4.2$Windows_x86 LibreOffice_project/f82d347ccc0be322489bf7da61d7e4ad13fe2ff3</Application>
  <Pages>3</Pages>
  <Words>1748</Words>
  <Characters>1792</Characters>
  <CharactersWithSpaces>1793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2018-08-14T15:57:00Z</dcterms:created>
  <dc:creator>person</dc:creator>
  <dc:description/>
  <dc:language>zh-TW</dc:language>
  <cp:lastModifiedBy/>
  <cp:lastPrinted>2018-09-04T10:09:00Z</cp:lastPrinted>
  <dcterms:modified xsi:type="dcterms:W3CDTF">2019-07-16T09:49:04Z</dcterms:modified>
  <cp:revision>18</cp:revision>
  <dc:subject/>
  <dc:title>大同大學實習委員會設置辦法</dc:title>
</cp:coreProperties>
</file>